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2E" w:rsidRDefault="00AE3E2E" w:rsidP="00AE3E2E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TRANSPARENTNOST PRORAČUNA</w:t>
      </w:r>
    </w:p>
    <w:p w:rsidR="00AE3E2E" w:rsidRDefault="00AE3E2E">
      <w:pPr>
        <w:rPr>
          <w:rFonts w:asciiTheme="minorHAnsi" w:hAnsiTheme="minorHAnsi"/>
        </w:rPr>
      </w:pPr>
    </w:p>
    <w:p w:rsidR="00AE746D" w:rsidRDefault="00AE3E2E">
      <w:pPr>
        <w:rPr>
          <w:rFonts w:asciiTheme="minorHAnsi" w:hAnsiTheme="minorHAnsi"/>
        </w:rPr>
      </w:pPr>
      <w:r w:rsidRPr="00EB525B">
        <w:rPr>
          <w:rFonts w:asciiTheme="minorHAnsi" w:hAnsiTheme="minorHAnsi"/>
        </w:rPr>
        <w:t>Institut za javne financije u Zagrebu proveo je analizu proračunske transparentnosti u razdoblju od studenog 2015. do ožujka 2016. godine, u kojem su gledali objavljene dokumente vezane za proračun u županijama, gradovima i općinama</w:t>
      </w:r>
      <w:r>
        <w:rPr>
          <w:rFonts w:asciiTheme="minorHAnsi" w:hAnsiTheme="minorHAnsi"/>
        </w:rPr>
        <w:t xml:space="preserve"> i to: </w:t>
      </w:r>
    </w:p>
    <w:p w:rsidR="00AE3E2E" w:rsidRDefault="00AE3E2E" w:rsidP="00AE3E2E">
      <w:pPr>
        <w:numPr>
          <w:ilvl w:val="0"/>
          <w:numId w:val="1"/>
        </w:numPr>
        <w:shd w:val="clear" w:color="auto" w:fill="DBDBDB"/>
        <w:spacing w:before="100" w:beforeAutospacing="1" w:after="100" w:afterAutospacing="1"/>
        <w:jc w:val="both"/>
        <w:rPr>
          <w:rFonts w:asciiTheme="minorHAnsi" w:hAnsiTheme="minorHAnsi" w:cs="Tahoma"/>
          <w:color w:val="3D3D3D"/>
        </w:rPr>
      </w:pPr>
      <w:r w:rsidRPr="007E1B67">
        <w:rPr>
          <w:rFonts w:asciiTheme="minorHAnsi" w:hAnsiTheme="minorHAnsi" w:cs="Tahoma"/>
          <w:color w:val="3D3D3D"/>
        </w:rPr>
        <w:t>godišnje izvršenje proračuna za 2014.,</w:t>
      </w:r>
    </w:p>
    <w:p w:rsidR="00AE3E2E" w:rsidRPr="007E1B67" w:rsidRDefault="00AE3E2E" w:rsidP="00AE3E2E">
      <w:pPr>
        <w:numPr>
          <w:ilvl w:val="0"/>
          <w:numId w:val="1"/>
        </w:numPr>
        <w:shd w:val="clear" w:color="auto" w:fill="DBDBDB"/>
        <w:spacing w:before="100" w:beforeAutospacing="1" w:after="100" w:afterAutospacing="1"/>
        <w:jc w:val="both"/>
        <w:rPr>
          <w:rFonts w:asciiTheme="minorHAnsi" w:hAnsiTheme="minorHAnsi" w:cs="Tahoma"/>
          <w:color w:val="3D3D3D"/>
        </w:rPr>
      </w:pPr>
      <w:r w:rsidRPr="007E1B67">
        <w:rPr>
          <w:rFonts w:asciiTheme="minorHAnsi" w:hAnsiTheme="minorHAnsi" w:cs="Tahoma"/>
          <w:color w:val="3D3D3D"/>
        </w:rPr>
        <w:t>polugodišnje izvršenje proračuna za 2015.,</w:t>
      </w:r>
    </w:p>
    <w:p w:rsidR="00AE3E2E" w:rsidRDefault="00AE3E2E" w:rsidP="00AE3E2E">
      <w:pPr>
        <w:numPr>
          <w:ilvl w:val="0"/>
          <w:numId w:val="1"/>
        </w:numPr>
        <w:shd w:val="clear" w:color="auto" w:fill="DBDBDB"/>
        <w:spacing w:before="100" w:beforeAutospacing="1" w:after="100" w:afterAutospacing="1"/>
        <w:jc w:val="both"/>
        <w:rPr>
          <w:rFonts w:asciiTheme="minorHAnsi" w:hAnsiTheme="minorHAnsi" w:cs="Tahoma"/>
          <w:color w:val="3D3D3D"/>
        </w:rPr>
      </w:pPr>
      <w:r w:rsidRPr="007E1B67">
        <w:rPr>
          <w:rFonts w:asciiTheme="minorHAnsi" w:hAnsiTheme="minorHAnsi" w:cs="Tahoma"/>
          <w:color w:val="3D3D3D"/>
        </w:rPr>
        <w:t>prijedlog proračuna za 2016.,</w:t>
      </w:r>
    </w:p>
    <w:p w:rsidR="00AE3E2E" w:rsidRPr="007E1B67" w:rsidRDefault="00AE3E2E" w:rsidP="00AE3E2E">
      <w:pPr>
        <w:numPr>
          <w:ilvl w:val="0"/>
          <w:numId w:val="1"/>
        </w:numPr>
        <w:shd w:val="clear" w:color="auto" w:fill="DBDBDB"/>
        <w:spacing w:before="100" w:beforeAutospacing="1" w:after="100" w:afterAutospacing="1"/>
        <w:jc w:val="both"/>
        <w:rPr>
          <w:rFonts w:asciiTheme="minorHAnsi" w:hAnsiTheme="minorHAnsi" w:cs="Tahoma"/>
          <w:color w:val="3D3D3D"/>
        </w:rPr>
      </w:pPr>
      <w:r w:rsidRPr="00AE3E2E">
        <w:rPr>
          <w:rFonts w:asciiTheme="minorHAnsi" w:hAnsiTheme="minorHAnsi" w:cs="Tahoma"/>
          <w:color w:val="3D3D3D"/>
        </w:rPr>
        <w:t>proračun za građane za 2016</w:t>
      </w:r>
      <w:r>
        <w:rPr>
          <w:rFonts w:asciiTheme="minorHAnsi" w:hAnsiTheme="minorHAnsi" w:cs="Tahoma"/>
          <w:color w:val="3D3D3D"/>
        </w:rPr>
        <w:t>.,</w:t>
      </w:r>
    </w:p>
    <w:p w:rsidR="00AE3E2E" w:rsidRDefault="00AE3E2E" w:rsidP="00AE3E2E">
      <w:pPr>
        <w:numPr>
          <w:ilvl w:val="0"/>
          <w:numId w:val="1"/>
        </w:numPr>
        <w:shd w:val="clear" w:color="auto" w:fill="DBDBDB"/>
        <w:spacing w:before="100" w:beforeAutospacing="1" w:after="100" w:afterAutospacing="1"/>
        <w:jc w:val="both"/>
        <w:rPr>
          <w:rFonts w:asciiTheme="minorHAnsi" w:hAnsiTheme="minorHAnsi" w:cs="Tahoma"/>
          <w:color w:val="3D3D3D"/>
        </w:rPr>
      </w:pPr>
      <w:r>
        <w:rPr>
          <w:rFonts w:asciiTheme="minorHAnsi" w:hAnsiTheme="minorHAnsi" w:cs="Tahoma"/>
          <w:color w:val="3D3D3D"/>
        </w:rPr>
        <w:t>izglasani proračun za 2016.</w:t>
      </w:r>
    </w:p>
    <w:p w:rsidR="00AE3E2E" w:rsidRPr="00AE3E2E" w:rsidRDefault="00AE3E2E" w:rsidP="00AE3E2E">
      <w:pPr>
        <w:pStyle w:val="Odlomakpopisa"/>
        <w:ind w:left="644"/>
        <w:rPr>
          <w:rFonts w:asciiTheme="minorHAnsi" w:hAnsiTheme="minorHAnsi"/>
        </w:rPr>
      </w:pPr>
    </w:p>
    <w:p w:rsidR="00AE3E2E" w:rsidRDefault="00AE3E2E">
      <w:pPr>
        <w:rPr>
          <w:rFonts w:asciiTheme="minorHAnsi" w:hAnsiTheme="minorHAnsi"/>
        </w:rPr>
      </w:pPr>
    </w:p>
    <w:p w:rsidR="00AE3E2E" w:rsidRDefault="00AE3E2E">
      <w:pPr>
        <w:rPr>
          <w:rFonts w:asciiTheme="minorHAnsi" w:hAnsiTheme="minorHAnsi" w:cs="Arial"/>
          <w:color w:val="141414"/>
        </w:rPr>
      </w:pPr>
      <w:r w:rsidRPr="00EB525B">
        <w:rPr>
          <w:rFonts w:asciiTheme="minorHAnsi" w:hAnsiTheme="minorHAnsi"/>
        </w:rPr>
        <w:t xml:space="preserve">Po razini transparentnosti proračuna županija, gradova i općina Koprivničko-križevačke županije, </w:t>
      </w:r>
      <w:r w:rsidRPr="00EB525B">
        <w:rPr>
          <w:rFonts w:asciiTheme="minorHAnsi" w:hAnsiTheme="minorHAnsi" w:cs="Arial"/>
          <w:color w:val="141414"/>
        </w:rPr>
        <w:t xml:space="preserve"> </w:t>
      </w:r>
      <w:r>
        <w:rPr>
          <w:rFonts w:asciiTheme="minorHAnsi" w:hAnsiTheme="minorHAnsi" w:cs="Arial"/>
          <w:color w:val="141414"/>
        </w:rPr>
        <w:t xml:space="preserve">  </w:t>
      </w:r>
      <w:r w:rsidRPr="00EB525B">
        <w:rPr>
          <w:rFonts w:asciiTheme="minorHAnsi" w:hAnsiTheme="minorHAnsi" w:cs="Arial"/>
          <w:color w:val="141414"/>
        </w:rPr>
        <w:t xml:space="preserve">odličnom ocjenom ocjenjeni je jedino Grad Koprivnica, doku su Koprivničko-križevačka županija i Općine </w:t>
      </w:r>
      <w:r w:rsidRPr="00AE3E2E">
        <w:rPr>
          <w:rFonts w:asciiTheme="minorHAnsi" w:hAnsiTheme="minorHAnsi" w:cs="Arial"/>
          <w:b/>
          <w:color w:val="141414"/>
        </w:rPr>
        <w:t>Hlebine</w:t>
      </w:r>
      <w:r w:rsidRPr="00EB525B">
        <w:rPr>
          <w:rFonts w:asciiTheme="minorHAnsi" w:hAnsiTheme="minorHAnsi" w:cs="Arial"/>
          <w:color w:val="141414"/>
        </w:rPr>
        <w:t xml:space="preserve">, Drnje, </w:t>
      </w:r>
      <w:proofErr w:type="spellStart"/>
      <w:r w:rsidRPr="00EB525B">
        <w:rPr>
          <w:rFonts w:asciiTheme="minorHAnsi" w:hAnsiTheme="minorHAnsi" w:cs="Arial"/>
          <w:color w:val="141414"/>
        </w:rPr>
        <w:t>Legrad</w:t>
      </w:r>
      <w:proofErr w:type="spellEnd"/>
      <w:r w:rsidRPr="00EB525B">
        <w:rPr>
          <w:rFonts w:asciiTheme="minorHAnsi" w:hAnsiTheme="minorHAnsi" w:cs="Arial"/>
          <w:color w:val="141414"/>
        </w:rPr>
        <w:t xml:space="preserve"> i </w:t>
      </w:r>
      <w:proofErr w:type="spellStart"/>
      <w:r w:rsidRPr="00EB525B">
        <w:rPr>
          <w:rFonts w:asciiTheme="minorHAnsi" w:hAnsiTheme="minorHAnsi" w:cs="Arial"/>
          <w:color w:val="141414"/>
        </w:rPr>
        <w:t>Molve</w:t>
      </w:r>
      <w:proofErr w:type="spellEnd"/>
      <w:r w:rsidRPr="00EB525B">
        <w:rPr>
          <w:rFonts w:asciiTheme="minorHAnsi" w:hAnsiTheme="minorHAnsi" w:cs="Arial"/>
          <w:color w:val="141414"/>
        </w:rPr>
        <w:t xml:space="preserve"> ocjenjene ocjenom </w:t>
      </w:r>
      <w:r w:rsidRPr="00AE3E2E">
        <w:rPr>
          <w:rFonts w:asciiTheme="minorHAnsi" w:hAnsiTheme="minorHAnsi" w:cs="Arial"/>
          <w:b/>
          <w:color w:val="141414"/>
        </w:rPr>
        <w:t>vrlo dobar</w:t>
      </w:r>
      <w:r w:rsidRPr="00EB525B">
        <w:rPr>
          <w:rFonts w:asciiTheme="minorHAnsi" w:hAnsiTheme="minorHAnsi" w:cs="Arial"/>
          <w:color w:val="141414"/>
        </w:rPr>
        <w:t xml:space="preserve">.  </w:t>
      </w:r>
      <w:r>
        <w:rPr>
          <w:rFonts w:asciiTheme="minorHAnsi" w:hAnsiTheme="minorHAnsi" w:cs="Arial"/>
          <w:color w:val="141414"/>
        </w:rPr>
        <w:t>I</w:t>
      </w:r>
      <w:r w:rsidRPr="007E1B67">
        <w:rPr>
          <w:rFonts w:asciiTheme="minorHAnsi" w:hAnsiTheme="minorHAnsi" w:cs="Tahoma"/>
          <w:color w:val="3D3D3D"/>
        </w:rPr>
        <w:t>zračun razin</w:t>
      </w:r>
      <w:r>
        <w:rPr>
          <w:rFonts w:asciiTheme="minorHAnsi" w:hAnsiTheme="minorHAnsi" w:cs="Tahoma"/>
          <w:color w:val="3D3D3D"/>
        </w:rPr>
        <w:t>e</w:t>
      </w:r>
      <w:r w:rsidRPr="007E1B67">
        <w:rPr>
          <w:rFonts w:asciiTheme="minorHAnsi" w:hAnsiTheme="minorHAnsi" w:cs="Tahoma"/>
          <w:color w:val="3D3D3D"/>
        </w:rPr>
        <w:t xml:space="preserve"> proračunske transparentnosti može iznositi od 0 do 5.</w:t>
      </w:r>
      <w:r w:rsidRPr="007E1B67">
        <w:rPr>
          <w:rFonts w:asciiTheme="minorHAnsi" w:hAnsiTheme="minorHAnsi" w:cs="Tahoma"/>
          <w:color w:val="3D3D3D"/>
        </w:rPr>
        <w:br/>
      </w:r>
    </w:p>
    <w:p w:rsidR="00AE3E2E" w:rsidRDefault="00AE3E2E">
      <w:r w:rsidRPr="00EB525B">
        <w:rPr>
          <w:rFonts w:asciiTheme="minorHAnsi" w:hAnsiTheme="minorHAnsi" w:cs="Tahoma"/>
          <w:color w:val="3D3D3D"/>
        </w:rPr>
        <w:t>T</w:t>
      </w:r>
      <w:r w:rsidRPr="007E1B67">
        <w:rPr>
          <w:rFonts w:asciiTheme="minorHAnsi" w:hAnsiTheme="minorHAnsi" w:cs="Tahoma"/>
          <w:color w:val="3D3D3D"/>
        </w:rPr>
        <w:t>ransparentni proračuni omogućuju građanima da dobiju potpune, točne, pravovremene i razumljive informacije o proračunu. Građani se na taj način mogu informirati i utjecati na što efikasnije prikupljanje javnih sredstava i ponudu javnih dobara i usluga, povećanje odgovornosti lokalnih vlasti i smanjenje mogućnosti za korupciju. Transparentnošću se poboljšava komunikacija građana s lokalnim vlastima i povećava njihovo povjerenje u lokalne vlasti.</w:t>
      </w:r>
      <w:r w:rsidRPr="00EB525B">
        <w:rPr>
          <w:rFonts w:asciiTheme="minorHAnsi" w:hAnsiTheme="minorHAnsi" w:cs="Tahoma"/>
          <w:color w:val="3D3D3D"/>
        </w:rPr>
        <w:t> </w:t>
      </w:r>
      <w:r w:rsidRPr="007E1B67">
        <w:rPr>
          <w:rFonts w:asciiTheme="minorHAnsi" w:hAnsiTheme="minorHAnsi" w:cs="Tahoma"/>
          <w:color w:val="3D3D3D"/>
        </w:rPr>
        <w:br/>
      </w:r>
    </w:p>
    <w:p w:rsidR="00AE3E2E" w:rsidRPr="007E1B67" w:rsidRDefault="00AE3E2E" w:rsidP="00AE3E2E">
      <w:pPr>
        <w:shd w:val="clear" w:color="auto" w:fill="DBDBDB"/>
        <w:ind w:left="0"/>
        <w:rPr>
          <w:rFonts w:ascii="Tahoma" w:hAnsi="Tahoma" w:cs="Tahoma"/>
          <w:color w:val="3D3D3D"/>
          <w:sz w:val="8"/>
          <w:szCs w:val="8"/>
        </w:rPr>
      </w:pPr>
      <w:r w:rsidRPr="007E1B67">
        <w:rPr>
          <w:rFonts w:asciiTheme="minorHAnsi" w:hAnsiTheme="minorHAnsi" w:cs="Tahoma"/>
          <w:color w:val="3D3D3D"/>
        </w:rPr>
        <w:t>Obvezu objave navedenih dokumenata propisuju:</w:t>
      </w:r>
      <w:r w:rsidRPr="00EB525B">
        <w:rPr>
          <w:rFonts w:asciiTheme="minorHAnsi" w:hAnsiTheme="minorHAnsi" w:cs="Tahoma"/>
          <w:color w:val="3D3D3D"/>
        </w:rPr>
        <w:t> </w:t>
      </w:r>
      <w:hyperlink r:id="rId5" w:tgtFrame="_blank" w:history="1">
        <w:r w:rsidRPr="00EB525B">
          <w:rPr>
            <w:rFonts w:asciiTheme="minorHAnsi" w:hAnsiTheme="minorHAnsi" w:cs="Tahoma"/>
            <w:color w:val="BF311A"/>
          </w:rPr>
          <w:t>Akcijski plan za provedbu inicijative Partnerstvo za otvorenu vlast u RH</w:t>
        </w:r>
      </w:hyperlink>
      <w:r w:rsidRPr="007E1B67">
        <w:rPr>
          <w:rFonts w:asciiTheme="minorHAnsi" w:hAnsiTheme="minorHAnsi" w:cs="Tahoma"/>
          <w:color w:val="3D3D3D"/>
        </w:rPr>
        <w:t>,</w:t>
      </w:r>
      <w:r w:rsidRPr="00EB525B">
        <w:rPr>
          <w:rFonts w:asciiTheme="minorHAnsi" w:hAnsiTheme="minorHAnsi" w:cs="Tahoma"/>
          <w:color w:val="3D3D3D"/>
        </w:rPr>
        <w:t> </w:t>
      </w:r>
      <w:hyperlink r:id="rId6" w:tgtFrame="_blank" w:history="1">
        <w:r w:rsidRPr="00EB525B">
          <w:rPr>
            <w:rFonts w:asciiTheme="minorHAnsi" w:hAnsiTheme="minorHAnsi" w:cs="Tahoma"/>
            <w:color w:val="BF311A"/>
          </w:rPr>
          <w:t>Zakon o pravu na pristup informacijama</w:t>
        </w:r>
      </w:hyperlink>
      <w:r w:rsidRPr="00EB525B">
        <w:rPr>
          <w:rFonts w:asciiTheme="minorHAnsi" w:hAnsiTheme="minorHAnsi" w:cs="Tahoma"/>
          <w:color w:val="3D3D3D"/>
        </w:rPr>
        <w:t> </w:t>
      </w:r>
      <w:r w:rsidRPr="007E1B67">
        <w:rPr>
          <w:rFonts w:asciiTheme="minorHAnsi" w:hAnsiTheme="minorHAnsi" w:cs="Tahoma"/>
          <w:color w:val="3D3D3D"/>
        </w:rPr>
        <w:t>(čl. 10.),</w:t>
      </w:r>
      <w:r w:rsidRPr="00EB525B">
        <w:rPr>
          <w:rFonts w:asciiTheme="minorHAnsi" w:hAnsiTheme="minorHAnsi" w:cs="Tahoma"/>
          <w:color w:val="3D3D3D"/>
        </w:rPr>
        <w:t> </w:t>
      </w:r>
      <w:hyperlink r:id="rId7" w:tgtFrame="_blank" w:history="1">
        <w:r w:rsidRPr="00EB525B">
          <w:rPr>
            <w:rFonts w:asciiTheme="minorHAnsi" w:hAnsiTheme="minorHAnsi" w:cs="Tahoma"/>
            <w:color w:val="BF311A"/>
          </w:rPr>
          <w:t>Zakon o proračunu</w:t>
        </w:r>
      </w:hyperlink>
      <w:r w:rsidRPr="00EB525B">
        <w:rPr>
          <w:rFonts w:asciiTheme="minorHAnsi" w:hAnsiTheme="minorHAnsi" w:cs="Tahoma"/>
          <w:color w:val="3D3D3D"/>
        </w:rPr>
        <w:t> </w:t>
      </w:r>
      <w:r w:rsidRPr="007E1B67">
        <w:rPr>
          <w:rFonts w:asciiTheme="minorHAnsi" w:hAnsiTheme="minorHAnsi" w:cs="Tahoma"/>
          <w:color w:val="3D3D3D"/>
        </w:rPr>
        <w:t xml:space="preserve">(čl. 12.) </w:t>
      </w:r>
      <w:proofErr w:type="spellStart"/>
      <w:r w:rsidRPr="007E1B67">
        <w:rPr>
          <w:rFonts w:asciiTheme="minorHAnsi" w:hAnsiTheme="minorHAnsi" w:cs="Tahoma"/>
          <w:color w:val="3D3D3D"/>
        </w:rPr>
        <w:t>i</w:t>
      </w:r>
      <w:hyperlink r:id="rId8" w:tgtFrame="_blank" w:history="1">
        <w:r w:rsidRPr="00EB525B">
          <w:rPr>
            <w:rFonts w:asciiTheme="minorHAnsi" w:hAnsiTheme="minorHAnsi" w:cs="Tahoma"/>
            <w:color w:val="BF311A"/>
          </w:rPr>
          <w:t>Upute</w:t>
        </w:r>
        <w:proofErr w:type="spellEnd"/>
        <w:r w:rsidRPr="00EB525B">
          <w:rPr>
            <w:rFonts w:asciiTheme="minorHAnsi" w:hAnsiTheme="minorHAnsi" w:cs="Tahoma"/>
            <w:color w:val="BF311A"/>
          </w:rPr>
          <w:t xml:space="preserve"> Ministarstva financija za izradu proračuna lokalnih jedinica</w:t>
        </w:r>
      </w:hyperlink>
      <w:r w:rsidRPr="007E1B67">
        <w:rPr>
          <w:rFonts w:asciiTheme="minorHAnsi" w:hAnsiTheme="minorHAnsi" w:cs="Tahoma"/>
          <w:color w:val="3D3D3D"/>
        </w:rPr>
        <w:t>. Postoji također</w:t>
      </w:r>
      <w:r w:rsidRPr="00EB525B">
        <w:rPr>
          <w:rFonts w:asciiTheme="minorHAnsi" w:hAnsiTheme="minorHAnsi" w:cs="Tahoma"/>
          <w:color w:val="3D3D3D"/>
        </w:rPr>
        <w:t> </w:t>
      </w:r>
      <w:hyperlink r:id="rId9" w:tgtFrame="_blank" w:history="1">
        <w:r w:rsidRPr="00EB525B">
          <w:rPr>
            <w:rFonts w:asciiTheme="minorHAnsi" w:hAnsiTheme="minorHAnsi" w:cs="Tahoma"/>
            <w:color w:val="BF311A"/>
          </w:rPr>
          <w:t>preporuka Ministarstva financija</w:t>
        </w:r>
      </w:hyperlink>
      <w:r w:rsidRPr="00EB525B">
        <w:rPr>
          <w:rFonts w:asciiTheme="minorHAnsi" w:hAnsiTheme="minorHAnsi" w:cs="Tahoma"/>
          <w:color w:val="3D3D3D"/>
        </w:rPr>
        <w:t> </w:t>
      </w:r>
      <w:r w:rsidRPr="007E1B67">
        <w:rPr>
          <w:rFonts w:asciiTheme="minorHAnsi" w:hAnsiTheme="minorHAnsi" w:cs="Tahoma"/>
          <w:color w:val="3D3D3D"/>
        </w:rPr>
        <w:t>koja sadrži i jedinstveni format vodiča za građane uz proračune lokalnih jedinica.</w:t>
      </w:r>
      <w:r w:rsidRPr="00EB525B">
        <w:rPr>
          <w:rFonts w:asciiTheme="minorHAnsi" w:hAnsiTheme="minorHAnsi" w:cs="Tahoma"/>
          <w:color w:val="3D3D3D"/>
        </w:rPr>
        <w:t> </w:t>
      </w:r>
      <w:r w:rsidRPr="007E1B67">
        <w:rPr>
          <w:rFonts w:asciiTheme="minorHAnsi" w:hAnsiTheme="minorHAnsi" w:cs="Tahoma"/>
          <w:color w:val="3D3D3D"/>
        </w:rPr>
        <w:br/>
      </w:r>
      <w:r w:rsidRPr="007E1B67">
        <w:rPr>
          <w:rFonts w:asciiTheme="minorHAnsi" w:hAnsiTheme="minorHAnsi" w:cs="Tahoma"/>
          <w:color w:val="3D3D3D"/>
        </w:rPr>
        <w:br/>
        <w:t xml:space="preserve">Detaljni rezultati analize predstavljeni su u </w:t>
      </w:r>
      <w:proofErr w:type="spellStart"/>
      <w:r w:rsidRPr="007E1B67">
        <w:rPr>
          <w:rFonts w:asciiTheme="minorHAnsi" w:hAnsiTheme="minorHAnsi" w:cs="Tahoma"/>
          <w:color w:val="3D3D3D"/>
        </w:rPr>
        <w:t>Newsletteru</w:t>
      </w:r>
      <w:proofErr w:type="spellEnd"/>
      <w:r w:rsidRPr="00EB525B">
        <w:rPr>
          <w:rFonts w:asciiTheme="minorHAnsi" w:hAnsiTheme="minorHAnsi" w:cs="Tahoma"/>
          <w:color w:val="3D3D3D"/>
        </w:rPr>
        <w:t> </w:t>
      </w:r>
      <w:hyperlink r:id="rId10" w:tgtFrame="_blank" w:history="1">
        <w:r w:rsidRPr="00EB525B">
          <w:rPr>
            <w:rFonts w:asciiTheme="minorHAnsi" w:hAnsiTheme="minorHAnsi" w:cs="Tahoma"/>
            <w:color w:val="BF311A"/>
          </w:rPr>
          <w:t>Proračunska transparentnost županija, gradova i općina: studeni 2015. - ožujak 2016</w:t>
        </w:r>
      </w:hyperlink>
      <w:r w:rsidRPr="007E1B67">
        <w:rPr>
          <w:rFonts w:asciiTheme="minorHAnsi" w:hAnsiTheme="minorHAnsi" w:cs="Tahoma"/>
          <w:color w:val="3D3D3D"/>
        </w:rPr>
        <w:t>.</w:t>
      </w:r>
      <w:r w:rsidRPr="007E1B67">
        <w:rPr>
          <w:rFonts w:asciiTheme="minorHAnsi" w:hAnsiTheme="minorHAnsi" w:cs="Tahoma"/>
          <w:color w:val="3D3D3D"/>
        </w:rPr>
        <w:br/>
      </w:r>
      <w:r w:rsidRPr="007E1B67">
        <w:rPr>
          <w:rFonts w:ascii="Tahoma" w:hAnsi="Tahoma" w:cs="Tahoma"/>
          <w:color w:val="3D3D3D"/>
          <w:sz w:val="8"/>
          <w:szCs w:val="8"/>
        </w:rPr>
        <w:br/>
      </w:r>
    </w:p>
    <w:p w:rsidR="00AE3E2E" w:rsidRPr="00EB525B" w:rsidRDefault="00AE3E2E" w:rsidP="00AE3E2E">
      <w:pPr>
        <w:rPr>
          <w:rFonts w:asciiTheme="minorHAnsi" w:hAnsiTheme="minorHAnsi"/>
        </w:rPr>
      </w:pPr>
    </w:p>
    <w:p w:rsidR="00AE3E2E" w:rsidRDefault="00AE3E2E"/>
    <w:sectPr w:rsidR="00AE3E2E" w:rsidSect="000653D1">
      <w:pgSz w:w="11906" w:h="16838"/>
      <w:pgMar w:top="709" w:right="1274" w:bottom="295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16A9"/>
    <w:multiLevelType w:val="multilevel"/>
    <w:tmpl w:val="7EF0356A"/>
    <w:lvl w:ilvl="0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084"/>
        </w:tabs>
        <w:ind w:left="2084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04"/>
        </w:tabs>
        <w:ind w:left="2804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244"/>
        </w:tabs>
        <w:ind w:left="4244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964"/>
        </w:tabs>
        <w:ind w:left="4964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04"/>
        </w:tabs>
        <w:ind w:left="6404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4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AE3E2E"/>
    <w:rsid w:val="00045334"/>
    <w:rsid w:val="000653D1"/>
    <w:rsid w:val="000A1F16"/>
    <w:rsid w:val="00130EA8"/>
    <w:rsid w:val="00174A92"/>
    <w:rsid w:val="002E6A8F"/>
    <w:rsid w:val="003E3F13"/>
    <w:rsid w:val="003E5287"/>
    <w:rsid w:val="004A21CC"/>
    <w:rsid w:val="005B5E9F"/>
    <w:rsid w:val="005D6ACA"/>
    <w:rsid w:val="00772BCF"/>
    <w:rsid w:val="007E4F2B"/>
    <w:rsid w:val="008410A2"/>
    <w:rsid w:val="00884AD8"/>
    <w:rsid w:val="009424D6"/>
    <w:rsid w:val="00992312"/>
    <w:rsid w:val="00AC384E"/>
    <w:rsid w:val="00AE3E2E"/>
    <w:rsid w:val="00AE746D"/>
    <w:rsid w:val="00BE3F5A"/>
    <w:rsid w:val="00C032E3"/>
    <w:rsid w:val="00C657E9"/>
    <w:rsid w:val="00CA6364"/>
    <w:rsid w:val="00CD0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312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jc w:val="center"/>
      <w:outlineLvl w:val="2"/>
    </w:pPr>
    <w:rPr>
      <w:rFonts w:ascii="Bookman Old Style" w:eastAsiaTheme="majorEastAsia" w:hAnsi="Bookman Old Style" w:cstheme="majorBidi"/>
      <w:b/>
      <w:bCs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jc w:val="center"/>
      <w:outlineLvl w:val="3"/>
    </w:pPr>
    <w:rPr>
      <w:rFonts w:ascii="Bookman Old Style" w:eastAsiaTheme="majorEastAsia" w:hAnsi="Bookman Old Style" w:cstheme="majorBidi"/>
      <w:b/>
      <w:bCs/>
      <w:sz w:val="22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outlineLvl w:val="4"/>
    </w:pPr>
    <w:rPr>
      <w:rFonts w:ascii="Bookman Old Style" w:eastAsiaTheme="majorEastAsia" w:hAnsi="Bookman Old Style" w:cstheme="majorBidi"/>
      <w:b/>
      <w:bCs/>
      <w:iCs/>
      <w:sz w:val="22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jc w:val="both"/>
      <w:outlineLvl w:val="6"/>
    </w:pPr>
    <w:rPr>
      <w:rFonts w:ascii="Bookman Old Style" w:eastAsiaTheme="majorEastAsia" w:hAnsi="Bookman Old Style" w:cstheme="majorBidi"/>
      <w:b/>
      <w:bCs/>
      <w:sz w:val="22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rPr>
      <w:b/>
      <w:bCs/>
      <w:sz w:val="20"/>
      <w:szCs w:val="20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ind w:right="-1233"/>
      <w:jc w:val="center"/>
    </w:pPr>
    <w:rPr>
      <w:rFonts w:eastAsiaTheme="majorEastAsia" w:cstheme="majorBidi"/>
      <w:b/>
      <w:szCs w:val="20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ind w:left="708"/>
    </w:pPr>
  </w:style>
  <w:style w:type="paragraph" w:styleId="Citat">
    <w:name w:val="Quote"/>
    <w:basedOn w:val="Normal"/>
    <w:next w:val="Normal"/>
    <w:link w:val="CitatChar"/>
    <w:uiPriority w:val="29"/>
    <w:qFormat/>
    <w:rsid w:val="00992312"/>
    <w:rPr>
      <w:rFonts w:eastAsiaTheme="majorEastAsia" w:cstheme="majorBidi"/>
      <w:i/>
      <w:iCs/>
      <w:color w:val="000000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in.hr/adminmax/docs/Upute%20za%20izradu%20proracuna%20JLP(R)S%202016.-2018.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fin.hr/adminmax/docs/Zakon%20o%20proracunu%20-%20prociseni%20tekst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.hr/z/126/Zakon-o-pravu-na-pristup-informacijam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druge.gov.hr/UserDocsImages/userfiles/file/Akcijski%20plan-Partnerstvo%20za%20otvorenu%20vlast-5_4_2012_.pdf" TargetMode="External"/><Relationship Id="rId10" Type="http://schemas.openxmlformats.org/officeDocument/2006/relationships/hyperlink" Target="http://www.ijf.hr/upload/files/file/newsletter/10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fin.hr/hr/lokalni-proracuni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1</cp:revision>
  <dcterms:created xsi:type="dcterms:W3CDTF">2016-07-08T11:33:00Z</dcterms:created>
  <dcterms:modified xsi:type="dcterms:W3CDTF">2016-07-08T11:38:00Z</dcterms:modified>
</cp:coreProperties>
</file>